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3B" w:rsidRDefault="00DD6039"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page">
              <wp:posOffset>5676900</wp:posOffset>
            </wp:positionH>
            <wp:positionV relativeFrom="page">
              <wp:posOffset>323850</wp:posOffset>
            </wp:positionV>
            <wp:extent cx="1033080" cy="1023938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080" cy="1023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5A3B" w:rsidRDefault="00855A3B">
      <w:pPr>
        <w:widowControl w:val="0"/>
        <w:spacing w:line="240" w:lineRule="auto"/>
      </w:pPr>
    </w:p>
    <w:p w:rsidR="00855A3B" w:rsidRDefault="00855A3B">
      <w:pPr>
        <w:widowControl w:val="0"/>
        <w:spacing w:line="240" w:lineRule="auto"/>
        <w:rPr>
          <w:b/>
          <w:color w:val="004888"/>
          <w:sz w:val="54"/>
          <w:szCs w:val="54"/>
        </w:rPr>
      </w:pPr>
    </w:p>
    <w:p w:rsidR="00855A3B" w:rsidRDefault="00DD6039">
      <w:pPr>
        <w:widowControl w:val="0"/>
        <w:spacing w:line="240" w:lineRule="auto"/>
        <w:rPr>
          <w:b/>
          <w:color w:val="004888"/>
          <w:sz w:val="54"/>
          <w:szCs w:val="54"/>
        </w:rPr>
      </w:pPr>
      <w:r>
        <w:rPr>
          <w:b/>
          <w:color w:val="004888"/>
          <w:sz w:val="54"/>
          <w:szCs w:val="54"/>
        </w:rPr>
        <w:t xml:space="preserve">Money Advice Caseworker </w:t>
      </w:r>
    </w:p>
    <w:p w:rsidR="00855A3B" w:rsidRDefault="00855A3B">
      <w:pPr>
        <w:widowControl w:val="0"/>
        <w:jc w:val="both"/>
        <w:rPr>
          <w:b/>
          <w:color w:val="004888"/>
          <w:sz w:val="54"/>
          <w:szCs w:val="54"/>
        </w:rPr>
      </w:pPr>
    </w:p>
    <w:p w:rsidR="00855A3B" w:rsidRDefault="00DD6039">
      <w:pPr>
        <w:widowControl w:val="0"/>
        <w:jc w:val="both"/>
        <w:rPr>
          <w:color w:val="004888"/>
          <w:sz w:val="24"/>
          <w:szCs w:val="24"/>
        </w:rPr>
      </w:pPr>
      <w:r>
        <w:rPr>
          <w:b/>
          <w:color w:val="004888"/>
          <w:sz w:val="24"/>
          <w:szCs w:val="24"/>
        </w:rPr>
        <w:t>Reports to:</w:t>
      </w:r>
      <w:r>
        <w:rPr>
          <w:color w:val="004888"/>
          <w:sz w:val="24"/>
          <w:szCs w:val="24"/>
        </w:rPr>
        <w:t xml:space="preserve"> CAL Debt Supervisor, Line Manager</w:t>
      </w:r>
    </w:p>
    <w:p w:rsidR="00855A3B" w:rsidRDefault="00855A3B">
      <w:pPr>
        <w:widowControl w:val="0"/>
        <w:jc w:val="both"/>
        <w:rPr>
          <w:color w:val="004888"/>
          <w:sz w:val="24"/>
          <w:szCs w:val="24"/>
        </w:rPr>
      </w:pPr>
    </w:p>
    <w:p w:rsidR="00855A3B" w:rsidRDefault="00DD6039">
      <w:pPr>
        <w:widowControl w:val="0"/>
        <w:jc w:val="both"/>
        <w:rPr>
          <w:color w:val="004888"/>
          <w:sz w:val="24"/>
          <w:szCs w:val="24"/>
        </w:rPr>
      </w:pPr>
      <w:r>
        <w:rPr>
          <w:b/>
          <w:color w:val="004888"/>
          <w:sz w:val="24"/>
          <w:szCs w:val="24"/>
        </w:rPr>
        <w:t>Contract Type:</w:t>
      </w:r>
      <w:r>
        <w:rPr>
          <w:color w:val="004888"/>
          <w:sz w:val="24"/>
          <w:szCs w:val="24"/>
        </w:rPr>
        <w:t xml:space="preserve"> Permanent </w:t>
      </w:r>
    </w:p>
    <w:p w:rsidR="00855A3B" w:rsidRDefault="00855A3B">
      <w:pPr>
        <w:widowControl w:val="0"/>
        <w:jc w:val="both"/>
        <w:rPr>
          <w:color w:val="004888"/>
          <w:sz w:val="24"/>
          <w:szCs w:val="24"/>
        </w:rPr>
      </w:pPr>
    </w:p>
    <w:p w:rsidR="00855A3B" w:rsidRDefault="00DD6039">
      <w:pPr>
        <w:widowControl w:val="0"/>
        <w:jc w:val="both"/>
        <w:rPr>
          <w:color w:val="004888"/>
          <w:sz w:val="24"/>
          <w:szCs w:val="24"/>
        </w:rPr>
      </w:pPr>
      <w:r>
        <w:rPr>
          <w:b/>
          <w:color w:val="004888"/>
          <w:sz w:val="24"/>
          <w:szCs w:val="24"/>
        </w:rPr>
        <w:t xml:space="preserve">Working Hours: </w:t>
      </w:r>
      <w:r>
        <w:rPr>
          <w:color w:val="004888"/>
          <w:sz w:val="24"/>
          <w:szCs w:val="24"/>
        </w:rPr>
        <w:t xml:space="preserve">35 hours per week (Full-Time)  </w:t>
      </w:r>
    </w:p>
    <w:p w:rsidR="00855A3B" w:rsidRDefault="00855A3B">
      <w:pPr>
        <w:widowControl w:val="0"/>
        <w:jc w:val="both"/>
        <w:rPr>
          <w:color w:val="004888"/>
          <w:sz w:val="24"/>
          <w:szCs w:val="24"/>
        </w:rPr>
      </w:pPr>
    </w:p>
    <w:p w:rsidR="00855A3B" w:rsidRDefault="00DD6039">
      <w:pPr>
        <w:widowControl w:val="0"/>
        <w:jc w:val="both"/>
        <w:rPr>
          <w:color w:val="004888"/>
          <w:sz w:val="24"/>
          <w:szCs w:val="24"/>
        </w:rPr>
      </w:pPr>
      <w:r>
        <w:rPr>
          <w:b/>
          <w:color w:val="004888"/>
          <w:sz w:val="24"/>
          <w:szCs w:val="24"/>
        </w:rPr>
        <w:t xml:space="preserve">Location: </w:t>
      </w:r>
      <w:r>
        <w:rPr>
          <w:color w:val="004888"/>
          <w:sz w:val="24"/>
          <w:szCs w:val="24"/>
        </w:rPr>
        <w:t>Leemore Lewisham – might be required to work from different locations (outreach)</w:t>
      </w:r>
    </w:p>
    <w:p w:rsidR="00855A3B" w:rsidRDefault="00855A3B">
      <w:pPr>
        <w:widowControl w:val="0"/>
        <w:jc w:val="both"/>
        <w:rPr>
          <w:color w:val="004888"/>
          <w:sz w:val="24"/>
          <w:szCs w:val="24"/>
        </w:rPr>
      </w:pPr>
    </w:p>
    <w:p w:rsidR="00855A3B" w:rsidRDefault="00DD6039">
      <w:pPr>
        <w:widowControl w:val="0"/>
        <w:jc w:val="both"/>
        <w:rPr>
          <w:color w:val="004888"/>
          <w:sz w:val="24"/>
          <w:szCs w:val="24"/>
        </w:rPr>
      </w:pPr>
      <w:r>
        <w:rPr>
          <w:b/>
          <w:color w:val="004888"/>
          <w:sz w:val="24"/>
          <w:szCs w:val="24"/>
        </w:rPr>
        <w:t xml:space="preserve">Salary: </w:t>
      </w:r>
      <w:r>
        <w:rPr>
          <w:color w:val="004888"/>
          <w:sz w:val="24"/>
          <w:szCs w:val="24"/>
        </w:rPr>
        <w:t xml:space="preserve">£27,000- £30,000 per annum, depending on experience   </w:t>
      </w:r>
    </w:p>
    <w:p w:rsidR="00855A3B" w:rsidRDefault="00855A3B">
      <w:pPr>
        <w:widowControl w:val="0"/>
        <w:jc w:val="both"/>
        <w:rPr>
          <w:color w:val="004888"/>
          <w:sz w:val="24"/>
          <w:szCs w:val="24"/>
        </w:rPr>
      </w:pPr>
    </w:p>
    <w:p w:rsidR="00855A3B" w:rsidRDefault="00DD6039">
      <w:pPr>
        <w:spacing w:after="160" w:line="259" w:lineRule="auto"/>
        <w:jc w:val="both"/>
        <w:rPr>
          <w:b/>
          <w:color w:val="004888"/>
          <w:sz w:val="24"/>
          <w:szCs w:val="24"/>
        </w:rPr>
      </w:pPr>
      <w:r>
        <w:rPr>
          <w:b/>
          <w:color w:val="004888"/>
          <w:sz w:val="24"/>
          <w:szCs w:val="24"/>
        </w:rPr>
        <w:t xml:space="preserve">Job purpose: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1. To provide over-indebted Londoners with free, face-to-face advice that is accurate, effective and tailored to individuals’ circumstances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2. To maintain detailed case records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3. Keep</w:t>
      </w:r>
      <w:r>
        <w:rPr>
          <w:color w:val="004888"/>
          <w:sz w:val="24"/>
          <w:szCs w:val="24"/>
        </w:rPr>
        <w:t xml:space="preserve"> up to date with legislation, policies and procedures and undertake appropriate training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Main duties and responsibilities: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1. To provide over-indebted Londoners with free, face-to-face advice that is accurate, effective and tailored to individuals’ circum</w:t>
      </w:r>
      <w:r>
        <w:rPr>
          <w:color w:val="004888"/>
          <w:sz w:val="24"/>
          <w:szCs w:val="24"/>
        </w:rPr>
        <w:t>stances</w:t>
      </w:r>
      <w:r w:rsidR="001F32F9">
        <w:rPr>
          <w:color w:val="004888"/>
          <w:sz w:val="24"/>
          <w:szCs w:val="24"/>
        </w:rPr>
        <w:t>, including: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</w:t>
      </w:r>
      <w:proofErr w:type="gramStart"/>
      <w:r w:rsidR="001F32F9">
        <w:rPr>
          <w:rFonts w:ascii="Arial Unicode MS" w:eastAsia="Arial Unicode MS" w:hAnsi="Arial Unicode MS" w:cs="Arial Unicode MS"/>
          <w:color w:val="004888"/>
          <w:sz w:val="24"/>
          <w:szCs w:val="24"/>
        </w:rPr>
        <w:t>Interviewing</w:t>
      </w:r>
      <w:proofErr w:type="gramEnd"/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those that access our service using sensitive listening and questioning skills in order to allow them to explain their problem(s) and empower them to set their own priorities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Researching and exploring options and i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mplications so that those accessing our service can make informed decisions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Ensuring income maximisation through the appropriate take up of income, including those relating to water charges, benefits, tax and housing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lastRenderedPageBreak/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Providing in-depth quality advice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and on-going casework, including acting for the client where necessary using appropriate communication skills and channels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Maintaining detailed case records, ensuring that all work meets all auditing and quality standards and the requirements of the fu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nder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2. To maintain detailed case records this includes: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Ensuring that all work meets all auditing and quality standards and the requirements of the funder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Ensuring all case records are written up in a timely manner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3. Keep up to date with legislation, policies and procedures and undertake ap</w:t>
      </w:r>
      <w:r w:rsidR="001F32F9">
        <w:rPr>
          <w:color w:val="004888"/>
          <w:sz w:val="24"/>
          <w:szCs w:val="24"/>
        </w:rPr>
        <w:t>propriate training, including</w:t>
      </w:r>
      <w:r>
        <w:rPr>
          <w:color w:val="004888"/>
          <w:sz w:val="24"/>
          <w:szCs w:val="24"/>
        </w:rPr>
        <w:t xml:space="preserve">: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Ensuring you complete a minimum of 16 hours/equivalent of technical debt advice CPD accredited training or qualifying activity and maintaining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an up-to-date record of all training sessions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>4. Contribute to team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Work to an agreed work-plan, meeting targets and milestones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Prioritise and manage your own workload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Be an active member of the team, identifying opportunities for your own development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Compliance with CAL policies and procedures, including health and safety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Demonstrate financial efficiency and value for money throughout work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Ensure that all ser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vices comply with equal opportunities and other relevant policies and quality standards and good practice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5. Other </w:t>
      </w:r>
    </w:p>
    <w:p w:rsidR="00855A3B" w:rsidRDefault="00DD6039">
      <w:pPr>
        <w:spacing w:after="160" w:line="259" w:lineRule="auto"/>
        <w:jc w:val="both"/>
        <w:rPr>
          <w:color w:val="004888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>∙</w:t>
      </w:r>
      <w:r>
        <w:rPr>
          <w:rFonts w:ascii="Arial Unicode MS" w:eastAsia="Arial Unicode MS" w:hAnsi="Arial Unicode MS" w:cs="Arial Unicode MS"/>
          <w:color w:val="004888"/>
          <w:sz w:val="24"/>
          <w:szCs w:val="24"/>
        </w:rPr>
        <w:t xml:space="preserve">  Undertake additional tasks as defined by the CEO and Line Manager</w:t>
      </w:r>
    </w:p>
    <w:p w:rsidR="00855A3B" w:rsidRDefault="00855A3B">
      <w:pPr>
        <w:spacing w:after="160" w:line="259" w:lineRule="auto"/>
        <w:rPr>
          <w:color w:val="004888"/>
          <w:sz w:val="24"/>
          <w:szCs w:val="24"/>
        </w:rPr>
      </w:pPr>
    </w:p>
    <w:p w:rsidR="001F32F9" w:rsidRDefault="001F32F9">
      <w:pPr>
        <w:spacing w:after="160" w:line="259" w:lineRule="auto"/>
        <w:rPr>
          <w:b/>
          <w:color w:val="004888"/>
          <w:sz w:val="24"/>
          <w:szCs w:val="24"/>
        </w:rPr>
      </w:pPr>
    </w:p>
    <w:p w:rsidR="001F32F9" w:rsidRDefault="001F32F9">
      <w:pPr>
        <w:spacing w:after="160" w:line="259" w:lineRule="auto"/>
        <w:rPr>
          <w:b/>
          <w:color w:val="004888"/>
          <w:sz w:val="24"/>
          <w:szCs w:val="24"/>
        </w:rPr>
      </w:pPr>
    </w:p>
    <w:p w:rsidR="001F32F9" w:rsidRDefault="001F32F9">
      <w:pPr>
        <w:spacing w:after="160" w:line="259" w:lineRule="auto"/>
        <w:rPr>
          <w:b/>
          <w:color w:val="004888"/>
          <w:sz w:val="24"/>
          <w:szCs w:val="24"/>
        </w:rPr>
      </w:pPr>
    </w:p>
    <w:p w:rsidR="00855A3B" w:rsidRDefault="00DD6039">
      <w:pPr>
        <w:spacing w:after="160" w:line="259" w:lineRule="auto"/>
        <w:rPr>
          <w:b/>
          <w:color w:val="004888"/>
          <w:sz w:val="24"/>
          <w:szCs w:val="24"/>
        </w:rPr>
      </w:pPr>
      <w:bookmarkStart w:id="0" w:name="_GoBack"/>
      <w:bookmarkEnd w:id="0"/>
      <w:r>
        <w:rPr>
          <w:b/>
          <w:color w:val="004888"/>
          <w:sz w:val="24"/>
          <w:szCs w:val="24"/>
        </w:rPr>
        <w:lastRenderedPageBreak/>
        <w:t xml:space="preserve">Person specification: </w:t>
      </w:r>
    </w:p>
    <w:tbl>
      <w:tblPr>
        <w:tblStyle w:val="a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2126"/>
      </w:tblGrid>
      <w:tr w:rsidR="00855A3B">
        <w:tc>
          <w:tcPr>
            <w:tcW w:w="8784" w:type="dxa"/>
            <w:gridSpan w:val="2"/>
            <w:shd w:val="clear" w:color="auto" w:fill="D9D9D9"/>
          </w:tcPr>
          <w:p w:rsidR="00855A3B" w:rsidRDefault="00DD6039">
            <w:pPr>
              <w:rPr>
                <w:b/>
                <w:color w:val="004888"/>
                <w:sz w:val="24"/>
                <w:szCs w:val="24"/>
              </w:rPr>
            </w:pPr>
            <w:r>
              <w:rPr>
                <w:b/>
                <w:color w:val="004888"/>
                <w:sz w:val="24"/>
                <w:szCs w:val="24"/>
              </w:rPr>
              <w:t>Attributes and Behaviours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Understanding of an</w:t>
            </w:r>
            <w:r>
              <w:rPr>
                <w:color w:val="004888"/>
                <w:sz w:val="24"/>
                <w:szCs w:val="24"/>
              </w:rPr>
              <w:t>d commitment to the aims and principles of the Citizens Advice service and its equality and diversity policies.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An ordered approach to casework and an ability to follow set procedures concerning casework and file management to achieve the expected standard required of the role.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Effective oral communication skills with particular emphasis on negotiating an</w:t>
            </w:r>
            <w:r>
              <w:rPr>
                <w:color w:val="004888"/>
                <w:sz w:val="24"/>
                <w:szCs w:val="24"/>
              </w:rPr>
              <w:t>d representing.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Effective writing skills with particular emphasis on negotiating, representing and preparing reviews, reports and correspondence.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Numerate to the level required in the tasks.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Understand the issues involved i</w:t>
            </w:r>
            <w:r>
              <w:rPr>
                <w:color w:val="004888"/>
                <w:sz w:val="24"/>
                <w:szCs w:val="24"/>
              </w:rPr>
              <w:t>n interviewing clients.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Ability to remain non-judgmental.</w:t>
            </w:r>
          </w:p>
          <w:p w:rsidR="00855A3B" w:rsidRDefault="00855A3B">
            <w:pPr>
              <w:rPr>
                <w:color w:val="00488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 xml:space="preserve">Ability to provide outstanding customer service. </w:t>
            </w:r>
          </w:p>
          <w:p w:rsidR="00855A3B" w:rsidRDefault="00855A3B">
            <w:pPr>
              <w:rPr>
                <w:color w:val="00488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Ability to prioritise own work, meet deadlines and manage caseload.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 xml:space="preserve">Ability to use sensitive listening and questioning skills to get to the root of the issues and empower clients, whilst maintaining structure and control of meetings 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 xml:space="preserve">Essential </w:t>
            </w:r>
          </w:p>
          <w:p w:rsidR="00855A3B" w:rsidRDefault="00855A3B">
            <w:pPr>
              <w:rPr>
                <w:color w:val="004888"/>
                <w:sz w:val="24"/>
                <w:szCs w:val="24"/>
              </w:rPr>
            </w:pP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 xml:space="preserve">Ability to give and receive feedback objectively and sensitively 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 xml:space="preserve">Understanding of the debt advice model with proven casework skills and experience of dealing with complex and challenging cases </w:t>
            </w:r>
          </w:p>
          <w:p w:rsidR="00855A3B" w:rsidRDefault="00855A3B">
            <w:pPr>
              <w:rPr>
                <w:color w:val="00488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A commitment to continuous professional development, including a willingness to develop knowledge and skills in adv</w:t>
            </w:r>
            <w:r>
              <w:rPr>
                <w:color w:val="004888"/>
                <w:sz w:val="24"/>
                <w:szCs w:val="24"/>
              </w:rPr>
              <w:t xml:space="preserve">ice topics 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  <w:shd w:val="clear" w:color="auto" w:fill="D9D9D9"/>
          </w:tcPr>
          <w:p w:rsidR="00855A3B" w:rsidRDefault="00DD6039">
            <w:pPr>
              <w:rPr>
                <w:b/>
                <w:color w:val="004888"/>
                <w:sz w:val="24"/>
                <w:szCs w:val="24"/>
              </w:rPr>
            </w:pPr>
            <w:r>
              <w:rPr>
                <w:b/>
                <w:color w:val="004888"/>
                <w:sz w:val="24"/>
                <w:szCs w:val="24"/>
              </w:rPr>
              <w:t>Knowledge and Experience</w:t>
            </w:r>
          </w:p>
        </w:tc>
        <w:tc>
          <w:tcPr>
            <w:tcW w:w="2126" w:type="dxa"/>
            <w:shd w:val="clear" w:color="auto" w:fill="D9D9D9"/>
          </w:tcPr>
          <w:p w:rsidR="00855A3B" w:rsidRDefault="00855A3B">
            <w:pPr>
              <w:rPr>
                <w:color w:val="004888"/>
                <w:sz w:val="24"/>
                <w:szCs w:val="24"/>
              </w:rPr>
            </w:pP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Previous experience of providing debt advice in non-for-profit organisations. At least one year, or equivalent, competencies in debt advice</w:t>
            </w:r>
          </w:p>
          <w:p w:rsidR="00855A3B" w:rsidRDefault="00855A3B">
            <w:pPr>
              <w:rPr>
                <w:color w:val="004888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 xml:space="preserve">Hold a valid Money Advice Service accredited qualification in debt advice to level three, or higher 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Citizens Advice Certificate in generalist advice work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  <w:p w:rsidR="00855A3B" w:rsidRDefault="00855A3B">
            <w:pPr>
              <w:rPr>
                <w:color w:val="004888"/>
                <w:sz w:val="24"/>
                <w:szCs w:val="24"/>
              </w:rPr>
            </w:pP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 xml:space="preserve">Experience of delivering high quality advice, casework and financial capability sessions to meet targets whilst ensuring collection of data to support funder’s monitoring and reporting requirements 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Have essential IT and telephone skills and abi</w:t>
            </w:r>
            <w:r>
              <w:rPr>
                <w:color w:val="004888"/>
                <w:sz w:val="24"/>
                <w:szCs w:val="24"/>
              </w:rPr>
              <w:t xml:space="preserve">lity to use an online based Client Management System (CMS) to deliver advice across multiple channels and maintain case records 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Essential</w:t>
            </w:r>
          </w:p>
        </w:tc>
      </w:tr>
      <w:tr w:rsidR="00855A3B">
        <w:tc>
          <w:tcPr>
            <w:tcW w:w="6658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lastRenderedPageBreak/>
              <w:t xml:space="preserve">Hold a Certificate in Money Advice Practice (Cert MAP) from the IMA in partnership with Staffordshire University </w:t>
            </w:r>
          </w:p>
        </w:tc>
        <w:tc>
          <w:tcPr>
            <w:tcW w:w="2126" w:type="dxa"/>
          </w:tcPr>
          <w:p w:rsidR="00855A3B" w:rsidRDefault="00DD6039">
            <w:pPr>
              <w:rPr>
                <w:color w:val="004888"/>
                <w:sz w:val="24"/>
                <w:szCs w:val="24"/>
              </w:rPr>
            </w:pPr>
            <w:r>
              <w:rPr>
                <w:color w:val="004888"/>
                <w:sz w:val="24"/>
                <w:szCs w:val="24"/>
              </w:rPr>
              <w:t>De</w:t>
            </w:r>
            <w:r>
              <w:rPr>
                <w:color w:val="004888"/>
                <w:sz w:val="24"/>
                <w:szCs w:val="24"/>
              </w:rPr>
              <w:t>sirable</w:t>
            </w:r>
          </w:p>
        </w:tc>
      </w:tr>
    </w:tbl>
    <w:p w:rsidR="00855A3B" w:rsidRDefault="00855A3B">
      <w:pPr>
        <w:spacing w:after="160" w:line="259" w:lineRule="auto"/>
        <w:rPr>
          <w:color w:val="004888"/>
          <w:sz w:val="24"/>
          <w:szCs w:val="24"/>
        </w:rPr>
      </w:pPr>
    </w:p>
    <w:p w:rsidR="00855A3B" w:rsidRDefault="00DD6039">
      <w:pPr>
        <w:widowControl w:val="0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                           </w:t>
      </w:r>
    </w:p>
    <w:p w:rsidR="00855A3B" w:rsidRDefault="00DD6039">
      <w:pPr>
        <w:widowControl w:val="0"/>
        <w:jc w:val="both"/>
        <w:rPr>
          <w:color w:val="004888"/>
          <w:sz w:val="24"/>
          <w:szCs w:val="24"/>
        </w:rPr>
      </w:pPr>
      <w:r>
        <w:rPr>
          <w:color w:val="004888"/>
          <w:sz w:val="24"/>
          <w:szCs w:val="24"/>
        </w:rPr>
        <w:t xml:space="preserve"> </w:t>
      </w:r>
    </w:p>
    <w:p w:rsidR="00855A3B" w:rsidRDefault="00855A3B">
      <w:pPr>
        <w:widowControl w:val="0"/>
        <w:spacing w:line="240" w:lineRule="auto"/>
        <w:jc w:val="both"/>
        <w:rPr>
          <w:sz w:val="28"/>
          <w:szCs w:val="28"/>
        </w:rPr>
      </w:pPr>
      <w:bookmarkStart w:id="1" w:name="_gjdgxs" w:colFirst="0" w:colLast="0"/>
      <w:bookmarkEnd w:id="1"/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shd w:val="clear" w:color="auto" w:fill="FFFFFF"/>
        <w:spacing w:line="259" w:lineRule="auto"/>
        <w:rPr>
          <w:color w:val="004888"/>
          <w:sz w:val="24"/>
          <w:szCs w:val="24"/>
        </w:rPr>
      </w:pPr>
    </w:p>
    <w:p w:rsidR="00855A3B" w:rsidRDefault="00855A3B">
      <w:pPr>
        <w:rPr>
          <w:color w:val="004888"/>
          <w:sz w:val="24"/>
          <w:szCs w:val="24"/>
          <w:highlight w:val="yellow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b/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b/>
          <w:color w:val="004888"/>
          <w:sz w:val="24"/>
          <w:szCs w:val="24"/>
        </w:rPr>
      </w:pPr>
    </w:p>
    <w:p w:rsidR="00855A3B" w:rsidRDefault="00DD6039">
      <w:pPr>
        <w:widowControl w:val="0"/>
        <w:rPr>
          <w:b/>
          <w:color w:val="004888"/>
          <w:sz w:val="24"/>
          <w:szCs w:val="24"/>
        </w:rPr>
      </w:pPr>
      <w:r>
        <w:rPr>
          <w:color w:val="004888"/>
          <w:sz w:val="28"/>
          <w:szCs w:val="28"/>
        </w:rPr>
        <w:t xml:space="preserve"> </w:t>
      </w:r>
    </w:p>
    <w:p w:rsidR="00855A3B" w:rsidRDefault="00DD6039">
      <w:pPr>
        <w:widowControl w:val="0"/>
        <w:spacing w:line="240" w:lineRule="auto"/>
        <w:rPr>
          <w:b/>
          <w:color w:val="004888"/>
          <w:sz w:val="16"/>
          <w:szCs w:val="16"/>
        </w:rPr>
      </w:pPr>
      <w:r>
        <w:rPr>
          <w:b/>
          <w:color w:val="004888"/>
          <w:sz w:val="16"/>
          <w:szCs w:val="16"/>
        </w:rPr>
        <w:t xml:space="preserve">  </w:t>
      </w: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240" w:lineRule="auto"/>
        <w:rPr>
          <w:color w:val="004888"/>
          <w:sz w:val="24"/>
          <w:szCs w:val="24"/>
        </w:rPr>
      </w:pPr>
    </w:p>
    <w:p w:rsidR="00855A3B" w:rsidRDefault="00855A3B">
      <w:pPr>
        <w:widowControl w:val="0"/>
        <w:spacing w:line="360" w:lineRule="auto"/>
        <w:rPr>
          <w:b/>
          <w:color w:val="004888"/>
          <w:sz w:val="16"/>
          <w:szCs w:val="16"/>
        </w:rPr>
      </w:pPr>
    </w:p>
    <w:sectPr w:rsidR="00855A3B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40" w:right="1440" w:bottom="1276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39" w:rsidRDefault="00DD6039">
      <w:pPr>
        <w:spacing w:line="240" w:lineRule="auto"/>
      </w:pPr>
      <w:r>
        <w:separator/>
      </w:r>
    </w:p>
  </w:endnote>
  <w:endnote w:type="continuationSeparator" w:id="0">
    <w:p w:rsidR="00DD6039" w:rsidRDefault="00DD6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3B" w:rsidRDefault="00855A3B">
    <w:pPr>
      <w:rPr>
        <w:rFonts w:ascii="Open Sans" w:eastAsia="Open Sans" w:hAnsi="Open Sans" w:cs="Open San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3B" w:rsidRDefault="00855A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39" w:rsidRDefault="00DD6039">
      <w:pPr>
        <w:spacing w:line="240" w:lineRule="auto"/>
      </w:pPr>
      <w:r>
        <w:separator/>
      </w:r>
    </w:p>
  </w:footnote>
  <w:footnote w:type="continuationSeparator" w:id="0">
    <w:p w:rsidR="00DD6039" w:rsidRDefault="00DD6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3B" w:rsidRDefault="00855A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3B" w:rsidRDefault="00855A3B">
    <w:pPr>
      <w:rPr>
        <w:rFonts w:ascii="Open Sans" w:eastAsia="Open Sans" w:hAnsi="Open Sans" w:cs="Open Sans"/>
        <w:sz w:val="28"/>
        <w:szCs w:val="28"/>
        <w:highlight w:val="yellow"/>
      </w:rPr>
    </w:pPr>
  </w:p>
  <w:p w:rsidR="00855A3B" w:rsidRDefault="00855A3B">
    <w:pPr>
      <w:rPr>
        <w:rFonts w:ascii="Open Sans" w:eastAsia="Open Sans" w:hAnsi="Open Sans" w:cs="Open Sans"/>
        <w:sz w:val="28"/>
        <w:szCs w:val="28"/>
        <w:highlight w:val="yellow"/>
      </w:rPr>
    </w:pPr>
  </w:p>
  <w:p w:rsidR="00855A3B" w:rsidRDefault="00855A3B">
    <w:pPr>
      <w:rPr>
        <w:rFonts w:ascii="Open Sans" w:eastAsia="Open Sans" w:hAnsi="Open Sans" w:cs="Open Sans"/>
        <w:sz w:val="28"/>
        <w:szCs w:val="28"/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3B"/>
    <w:rsid w:val="001F32F9"/>
    <w:rsid w:val="00855A3B"/>
    <w:rsid w:val="00D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A1E72-3D8D-43AC-A71C-81999F74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Tovolli</dc:creator>
  <cp:lastModifiedBy>Cintia Tovolli</cp:lastModifiedBy>
  <cp:revision>2</cp:revision>
  <dcterms:created xsi:type="dcterms:W3CDTF">2021-05-04T13:08:00Z</dcterms:created>
  <dcterms:modified xsi:type="dcterms:W3CDTF">2021-05-04T13:08:00Z</dcterms:modified>
</cp:coreProperties>
</file>